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713232" cy="713232"/>
            <wp:docPr id="1" name="Picture 1" descr="CHIATECH publisher logo" title="CHIATECH publisher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713232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xmlns:a="http://schemas.openxmlformats.org/drawingml/2006/main" xmlns:pic="http://schemas.openxmlformats.org/drawingml/2006/picture">
            <wp:extent cx="640080" cy="759562"/>
            <wp:docPr id="2" name="Picture 2" descr="CHIATECH Journal SETEHEM logo" title="CHIATECH Journal SETEHEM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7595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color w:val="1656B8"/>
          <w:sz w:val="18"/>
        </w:rPr>
        <w:t>CHIATECH REVIEW ENGINE</w:t>
      </w:r>
    </w:p>
    <w:p>
      <w:pPr>
        <w:pStyle w:val="Title"/>
        <w:jc w:val="center"/>
      </w:pPr>
      <w:r>
        <w:t>Manuscript Readiness Report</w:t>
      </w:r>
    </w:p>
    <w:p>
      <w:pPr>
        <w:jc w:val="center"/>
      </w:pPr>
      <w:r>
        <w:rPr>
          <w:color w:val="5B6472"/>
          <w:sz w:val="22"/>
        </w:rPr>
        <w:t>Structured evidence for authors and the human editorial team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rPr>
          <w:tblHeader w:val="true"/>
        </w:trPr>
        <w:tc>
          <w:tcPr>
            <w:tcW w:type="dxa" w:w="10123"/>
            <w:shd w:fill="071A4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4"/>
              </w:rPr>
              <w:t>SCIENCE · TECHNOLOGY · ENGINEERING · MATHEMATICS · EDUCATION · HUMANITIES &amp; SOCIAL SCIENCES · ENTREPRENEURSHIP &amp; MANAGEMENT</w:t>
            </w:r>
          </w:p>
        </w:tc>
      </w:tr>
    </w:tbl>
    <w:p>
      <w:pPr>
        <w:jc w:val="center"/>
      </w:pPr>
      <w:r>
        <w:rPr>
          <w:b/>
          <w:color w:val="1B7F5B"/>
          <w:sz w:val="17"/>
        </w:rPr>
        <w:t>READINESS EVIDENCE · NOT AN ACCEPTANCE DECISION</w:t>
      </w:r>
    </w:p>
    <w:p>
      <w:pPr>
        <w:jc w:val="center"/>
      </w:pPr>
      <w:r>
        <w:rPr>
          <w:color w:val="5B6472"/>
          <w:sz w:val="16"/>
        </w:rPr>
        <w:t>Published by CHIA TECH SOLUTIONS AND RESOURCES LIMITED · RC 1839865 · Nigeria</w:t>
      </w:r>
    </w:p>
    <w:p>
      <w:pPr>
        <w:jc w:val="center"/>
      </w:pPr>
      <w:r>
        <w:rPr>
          <w:color w:val="5B6472"/>
          <w:sz w:val="16"/>
        </w:rPr>
        <w:t>ISSN: Pending assignment · DOI prefix: Pending registration</w:t>
      </w:r>
    </w:p>
    <w:p>
      <w:r>
        <w:br w:type="page"/>
      </w:r>
    </w:p>
    <w:p>
      <w:pPr>
        <w:pStyle w:val="Heading1"/>
      </w:pPr>
      <w:r>
        <w:t>Report control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blHeader w:val="true"/>
        </w:trPr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Control</w:t>
            </w:r>
          </w:p>
        </w:tc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Recorded value</w:t>
            </w:r>
          </w:p>
        </w:tc>
      </w:tr>
      <w:tr>
        <w:tc>
          <w:tcPr>
            <w:tcW w:type="dxa" w:w="316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Report ID</w:t>
            </w:r>
          </w:p>
        </w:tc>
        <w:tc>
          <w:tcPr>
            <w:tcW w:type="dxa" w:w="70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Populated automatically after a completed review</w:t>
            </w:r>
          </w:p>
        </w:tc>
      </w:tr>
      <w:tr>
        <w:tc>
          <w:tcPr>
            <w:tcW w:type="dxa" w:w="316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Generated</w:t>
            </w:r>
          </w:p>
        </w:tc>
        <w:tc>
          <w:tcPr>
            <w:tcW w:type="dxa" w:w="70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Date and time recorded automatically</w:t>
            </w:r>
          </w:p>
        </w:tc>
      </w:tr>
      <w:tr>
        <w:tc>
          <w:tcPr>
            <w:tcW w:type="dxa" w:w="316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Manuscript file</w:t>
            </w:r>
          </w:p>
        </w:tc>
        <w:tc>
          <w:tcPr>
            <w:tcW w:type="dxa" w:w="70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File name recorded from the author upload</w:t>
            </w:r>
          </w:p>
        </w:tc>
      </w:tr>
      <w:tr>
        <w:tc>
          <w:tcPr>
            <w:tcW w:type="dxa" w:w="316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Manuscript title</w:t>
            </w:r>
          </w:p>
        </w:tc>
        <w:tc>
          <w:tcPr>
            <w:tcW w:type="dxa" w:w="70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Title recorded from the review intake</w:t>
            </w:r>
          </w:p>
        </w:tc>
      </w:tr>
      <w:tr>
        <w:tc>
          <w:tcPr>
            <w:tcW w:type="dxa" w:w="316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Corresponding-author email</w:t>
            </w:r>
          </w:p>
        </w:tc>
        <w:tc>
          <w:tcPr>
            <w:tcW w:type="dxa" w:w="70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Address supplied for editorial routing</w:t>
            </w:r>
          </w:p>
        </w:tc>
      </w:tr>
      <w:tr>
        <w:tc>
          <w:tcPr>
            <w:tcW w:type="dxa" w:w="316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Primary SETEHEM domain</w:t>
            </w:r>
          </w:p>
        </w:tc>
        <w:tc>
          <w:tcPr>
            <w:tcW w:type="dxa" w:w="70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Science / Technology / Engineering / Mathematics / Education / Humanities &amp; Social Sciences / Entrepreneurship &amp; Management</w:t>
            </w:r>
          </w:p>
        </w:tc>
      </w:tr>
      <w:tr>
        <w:tc>
          <w:tcPr>
            <w:tcW w:type="dxa" w:w="316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Article type</w:t>
            </w:r>
          </w:p>
        </w:tc>
        <w:tc>
          <w:tcPr>
            <w:tcW w:type="dxa" w:w="70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Selected during review intake</w:t>
            </w:r>
          </w:p>
        </w:tc>
      </w:tr>
      <w:tr>
        <w:tc>
          <w:tcPr>
            <w:tcW w:type="dxa" w:w="316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Online reference checks</w:t>
            </w:r>
          </w:p>
        </w:tc>
        <w:tc>
          <w:tcPr>
            <w:tcW w:type="dxa" w:w="70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Author-enabled status and Crossref availability</w:t>
            </w:r>
          </w:p>
        </w:tc>
      </w:tr>
      <w:tr>
        <w:tc>
          <w:tcPr>
            <w:tcW w:type="dxa" w:w="316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Review Engine version</w:t>
            </w:r>
          </w:p>
        </w:tc>
        <w:tc>
          <w:tcPr>
            <w:tcW w:type="dxa" w:w="70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Version identifier recorded by the running service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rPr>
          <w:tblHeader w:val="true"/>
        </w:trPr>
        <w:tc>
          <w:tcPr>
            <w:tcW w:type="dxa" w:w="10123"/>
            <w:shd w:fill="FFF8D8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10" w:color="C99718"/>
              <w:left w:val="single" w:sz="10" w:color="C99718"/>
              <w:bottom w:val="single" w:sz="10" w:color="C99718"/>
              <w:right w:val="single" w:sz="10" w:color="C99718"/>
            </w:tcBorders>
          </w:tcPr>
          <w:p>
            <w:r>
              <w:rPr>
                <w:b/>
                <w:color w:val="071A45"/>
                <w:sz w:val="19"/>
              </w:rPr>
              <w:t>READINESS OUTCOME</w:t>
              <w:br/>
            </w:r>
            <w:r>
              <w:rPr>
                <w:color w:val="152033"/>
                <w:sz w:val="18"/>
              </w:rPr>
              <w:t>A completed report records the score, routing recommendation and principal limitations. The Review Engine supports scope screening and integrity triage; it does not replace peer review, plagiarism analysis, editorial judgement or acceptance.</w:t>
            </w:r>
          </w:p>
        </w:tc>
      </w:tr>
    </w:tbl>
    <w:p>
      <w:pPr>
        <w:pStyle w:val="Heading1"/>
      </w:pPr>
      <w:r>
        <w:t>Summary measures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31"/>
        <w:gridCol w:w="2531"/>
        <w:gridCol w:w="2531"/>
        <w:gridCol w:w="2531"/>
      </w:tblGrid>
      <w:tr>
        <w:trPr>
          <w:tblHeader w:val="true"/>
        </w:trPr>
        <w:tc>
          <w:tcPr>
            <w:tcW w:type="dxa" w:w="253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Readiness score</w:t>
            </w:r>
          </w:p>
        </w:tc>
        <w:tc>
          <w:tcPr>
            <w:tcW w:type="dxa" w:w="253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Word count</w:t>
            </w:r>
          </w:p>
        </w:tc>
        <w:tc>
          <w:tcPr>
            <w:tcW w:type="dxa" w:w="253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References</w:t>
            </w:r>
          </w:p>
        </w:tc>
        <w:tc>
          <w:tcPr>
            <w:tcW w:type="dxa" w:w="253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Suggested guideline</w:t>
            </w:r>
          </w:p>
        </w:tc>
      </w:tr>
      <w:tr>
        <w:tc>
          <w:tcPr>
            <w:tcW w:type="dxa" w:w="252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Completed review value</w:t>
            </w:r>
          </w:p>
        </w:tc>
        <w:tc>
          <w:tcPr>
            <w:tcW w:type="dxa" w:w="252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Completed review value</w:t>
            </w:r>
          </w:p>
        </w:tc>
        <w:tc>
          <w:tcPr>
            <w:tcW w:type="dxa" w:w="252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Completed review value</w:t>
            </w:r>
          </w:p>
        </w:tc>
        <w:tc>
          <w:tcPr>
            <w:tcW w:type="dxa" w:w="252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Completed review value</w:t>
            </w:r>
          </w:p>
        </w:tc>
      </w:tr>
    </w:tbl>
    <w:p>
      <w:r>
        <w:br w:type="page"/>
      </w:r>
    </w:p>
    <w:p>
      <w:pPr>
        <w:pStyle w:val="Heading1"/>
      </w:pPr>
      <w:r>
        <w:t>Standards review matrix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74"/>
        <w:gridCol w:w="3374"/>
        <w:gridCol w:w="3374"/>
      </w:tblGrid>
      <w:tr>
        <w:trPr>
          <w:tblHeader w:val="true"/>
        </w:trPr>
        <w:tc>
          <w:tcPr>
            <w:tcW w:type="dxa" w:w="3374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Criterion</w:t>
            </w:r>
          </w:p>
        </w:tc>
        <w:tc>
          <w:tcPr>
            <w:tcW w:type="dxa" w:w="3374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Result</w:t>
            </w:r>
          </w:p>
        </w:tc>
        <w:tc>
          <w:tcPr>
            <w:tcW w:type="dxa" w:w="3374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Evidence recorded</w:t>
            </w:r>
          </w:p>
        </w:tc>
      </w:tr>
      <w:tr>
        <w:tc>
          <w:tcPr>
            <w:tcW w:type="dxa" w:w="28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File integrity and readable text</w:t>
            </w:r>
          </w:p>
        </w:tc>
        <w:tc>
          <w:tcPr>
            <w:tcW w:type="dxa" w:w="16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Generated</w:t>
            </w:r>
          </w:p>
        </w:tc>
        <w:tc>
          <w:tcPr>
            <w:tcW w:type="dxa" w:w="57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DOCX can be opened and readable word count recorded.</w:t>
            </w:r>
          </w:p>
        </w:tc>
      </w:tr>
      <w:tr>
        <w:tc>
          <w:tcPr>
            <w:tcW w:type="dxa" w:w="28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Manuscript length</w:t>
            </w:r>
          </w:p>
        </w:tc>
        <w:tc>
          <w:tcPr>
            <w:tcW w:type="dxa" w:w="16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Generated</w:t>
            </w:r>
          </w:p>
        </w:tc>
        <w:tc>
          <w:tcPr>
            <w:tcW w:type="dxa" w:w="57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Text volume compared with selected article type.</w:t>
            </w:r>
          </w:p>
        </w:tc>
      </w:tr>
      <w:tr>
        <w:tc>
          <w:tcPr>
            <w:tcW w:type="dxa" w:w="28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Abstract</w:t>
            </w:r>
          </w:p>
        </w:tc>
        <w:tc>
          <w:tcPr>
            <w:tcW w:type="dxa" w:w="16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Generated</w:t>
            </w:r>
          </w:p>
        </w:tc>
        <w:tc>
          <w:tcPr>
            <w:tcW w:type="dxa" w:w="57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Labelled abstract and normal 150–350 word range.</w:t>
            </w:r>
          </w:p>
        </w:tc>
      </w:tr>
      <w:tr>
        <w:tc>
          <w:tcPr>
            <w:tcW w:type="dxa" w:w="28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Keywords</w:t>
            </w:r>
          </w:p>
        </w:tc>
        <w:tc>
          <w:tcPr>
            <w:tcW w:type="dxa" w:w="16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Generated</w:t>
            </w:r>
          </w:p>
        </w:tc>
        <w:tc>
          <w:tcPr>
            <w:tcW w:type="dxa" w:w="57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Checks 4–8 searchable keywords.</w:t>
            </w:r>
          </w:p>
        </w:tc>
      </w:tr>
      <w:tr>
        <w:tc>
          <w:tcPr>
            <w:tcW w:type="dxa" w:w="28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Article structure</w:t>
            </w:r>
          </w:p>
        </w:tc>
        <w:tc>
          <w:tcPr>
            <w:tcW w:type="dxa" w:w="16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Generated</w:t>
            </w:r>
          </w:p>
        </w:tc>
        <w:tc>
          <w:tcPr>
            <w:tcW w:type="dxa" w:w="57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Tests headings appropriate to article type.</w:t>
            </w:r>
          </w:p>
        </w:tc>
      </w:tr>
      <w:tr>
        <w:tc>
          <w:tcPr>
            <w:tcW w:type="dxa" w:w="28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SETEHEM alignment</w:t>
            </w:r>
          </w:p>
        </w:tc>
        <w:tc>
          <w:tcPr>
            <w:tcW w:type="dxa" w:w="16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Generated</w:t>
            </w:r>
          </w:p>
        </w:tc>
        <w:tc>
          <w:tcPr>
            <w:tcW w:type="dxa" w:w="57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Assesses connection to primary domain and practical contribution.</w:t>
            </w:r>
          </w:p>
        </w:tc>
      </w:tr>
      <w:tr>
        <w:tc>
          <w:tcPr>
            <w:tcW w:type="dxa" w:w="28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Methods / reproducibility</w:t>
            </w:r>
          </w:p>
        </w:tc>
        <w:tc>
          <w:tcPr>
            <w:tcW w:type="dxa" w:w="16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Generated</w:t>
            </w:r>
          </w:p>
        </w:tc>
        <w:tc>
          <w:tcPr>
            <w:tcW w:type="dxa" w:w="57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Looks for design, materials/data, procedure and analysis signals.</w:t>
            </w:r>
          </w:p>
        </w:tc>
      </w:tr>
      <w:tr>
        <w:tc>
          <w:tcPr>
            <w:tcW w:type="dxa" w:w="28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Ethics and declarations</w:t>
            </w:r>
          </w:p>
        </w:tc>
        <w:tc>
          <w:tcPr>
            <w:tcW w:type="dxa" w:w="16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Generated</w:t>
            </w:r>
          </w:p>
        </w:tc>
        <w:tc>
          <w:tcPr>
            <w:tcW w:type="dxa" w:w="57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Checks ethics, consent, funding, competing interests, data and contributions.</w:t>
            </w:r>
          </w:p>
        </w:tc>
      </w:tr>
      <w:tr>
        <w:tc>
          <w:tcPr>
            <w:tcW w:type="dxa" w:w="28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Citation / reference integrity</w:t>
            </w:r>
          </w:p>
        </w:tc>
        <w:tc>
          <w:tcPr>
            <w:tcW w:type="dxa" w:w="16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Generated</w:t>
            </w:r>
          </w:p>
        </w:tc>
        <w:tc>
          <w:tcPr>
            <w:tcW w:type="dxa" w:w="57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Counts author–year citations and references; flags mismatches.</w:t>
            </w:r>
          </w:p>
        </w:tc>
      </w:tr>
      <w:tr>
        <w:tc>
          <w:tcPr>
            <w:tcW w:type="dxa" w:w="28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Web reference verification</w:t>
            </w:r>
          </w:p>
        </w:tc>
        <w:tc>
          <w:tcPr>
            <w:tcW w:type="dxa" w:w="16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Generated</w:t>
            </w:r>
          </w:p>
        </w:tc>
        <w:tc>
          <w:tcPr>
            <w:tcW w:type="dxa" w:w="57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Verifies DOI records / sampled metadata where authorised.</w:t>
            </w:r>
          </w:p>
        </w:tc>
      </w:tr>
      <w:tr>
        <w:tc>
          <w:tcPr>
            <w:tcW w:type="dxa" w:w="28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Similarity / originality signals</w:t>
            </w:r>
          </w:p>
        </w:tc>
        <w:tc>
          <w:tcPr>
            <w:tcW w:type="dxa" w:w="16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Generated</w:t>
            </w:r>
          </w:p>
        </w:tc>
        <w:tc>
          <w:tcPr>
            <w:tcW w:type="dxa" w:w="57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Records repeated-sequence signals and closely matching metadata for follow-up.</w:t>
            </w:r>
          </w:p>
        </w:tc>
      </w:tr>
      <w:tr>
        <w:tc>
          <w:tcPr>
            <w:tcW w:type="dxa" w:w="28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AI-use disclosure</w:t>
            </w:r>
          </w:p>
        </w:tc>
        <w:tc>
          <w:tcPr>
            <w:tcW w:type="dxa" w:w="165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Generated</w:t>
            </w:r>
          </w:p>
        </w:tc>
        <w:tc>
          <w:tcPr>
            <w:tcW w:type="dxa" w:w="57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Checks explicit disclosure; does not infer authorship from style.</w:t>
            </w:r>
          </w:p>
        </w:tc>
      </w:tr>
    </w:tbl>
    <w:p>
      <w:r>
        <w:br w:type="page"/>
      </w:r>
    </w:p>
    <w:p>
      <w:pPr>
        <w:pStyle w:val="Heading1"/>
      </w:pPr>
      <w:r>
        <w:t>Recommendations to the author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blHeader w:val="true"/>
        </w:trPr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Author action</w:t>
            </w:r>
          </w:p>
        </w:tc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Evidence-linked recommendation</w:t>
            </w:r>
          </w:p>
        </w:tc>
      </w:tr>
      <w:tr>
        <w:tc>
          <w:tcPr>
            <w:tcW w:type="dxa" w:w="223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7"/>
              </w:rPr>
              <w:t>Author action 1</w:t>
            </w:r>
          </w:p>
        </w:tc>
        <w:tc>
          <w:tcPr>
            <w:tcW w:type="dxa" w:w="806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7"/>
              </w:rPr>
              <w:t>Populated from evidence in the completed manuscript review</w:t>
            </w:r>
          </w:p>
        </w:tc>
      </w:tr>
      <w:tr>
        <w:tc>
          <w:tcPr>
            <w:tcW w:type="dxa" w:w="223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7"/>
              </w:rPr>
              <w:t>Author action 2</w:t>
            </w:r>
          </w:p>
        </w:tc>
        <w:tc>
          <w:tcPr>
            <w:tcW w:type="dxa" w:w="806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7"/>
              </w:rPr>
              <w:t>Populated from evidence in the completed manuscript review</w:t>
            </w:r>
          </w:p>
        </w:tc>
      </w:tr>
      <w:tr>
        <w:tc>
          <w:tcPr>
            <w:tcW w:type="dxa" w:w="223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7"/>
              </w:rPr>
              <w:t>Author action 3</w:t>
            </w:r>
          </w:p>
        </w:tc>
        <w:tc>
          <w:tcPr>
            <w:tcW w:type="dxa" w:w="806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7"/>
              </w:rPr>
              <w:t>Populated from evidence in the completed manuscript review</w:t>
            </w:r>
          </w:p>
        </w:tc>
      </w:tr>
      <w:tr>
        <w:tc>
          <w:tcPr>
            <w:tcW w:type="dxa" w:w="223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7"/>
              </w:rPr>
              <w:t>Author action 4</w:t>
            </w:r>
          </w:p>
        </w:tc>
        <w:tc>
          <w:tcPr>
            <w:tcW w:type="dxa" w:w="806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7"/>
              </w:rPr>
              <w:t>Populated from evidence in the completed manuscript review</w:t>
            </w:r>
          </w:p>
        </w:tc>
      </w:tr>
      <w:tr>
        <w:tc>
          <w:tcPr>
            <w:tcW w:type="dxa" w:w="223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7"/>
              </w:rPr>
              <w:t>Author action 5</w:t>
            </w:r>
          </w:p>
        </w:tc>
        <w:tc>
          <w:tcPr>
            <w:tcW w:type="dxa" w:w="806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7"/>
              </w:rPr>
              <w:t>Populated from evidence in the completed manuscript review</w:t>
            </w:r>
          </w:p>
        </w:tc>
      </w:tr>
    </w:tbl>
    <w:p>
      <w:pPr>
        <w:pStyle w:val="Heading1"/>
      </w:pPr>
      <w:r>
        <w:t>Recommendations to human editors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blHeader w:val="true"/>
        </w:trPr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Human control</w:t>
            </w:r>
          </w:p>
        </w:tc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Required editorial action</w:t>
            </w:r>
          </w:p>
        </w:tc>
      </w:tr>
      <w:tr>
        <w:tc>
          <w:tcPr>
            <w:tcW w:type="dxa" w:w="302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Editorial decision</w:t>
            </w:r>
          </w:p>
        </w:tc>
        <w:tc>
          <w:tcPr>
            <w:tcW w:type="dxa" w:w="727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Confirm scope, novelty, article type and evidence independently.</w:t>
            </w:r>
          </w:p>
        </w:tc>
      </w:tr>
      <w:tr>
        <w:tc>
          <w:tcPr>
            <w:tcW w:type="dxa" w:w="302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Reporting standard</w:t>
            </w:r>
          </w:p>
        </w:tc>
        <w:tc>
          <w:tcPr>
            <w:tcW w:type="dxa" w:w="727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Confirm discipline-appropriate reporting guideline and checklist.</w:t>
            </w:r>
          </w:p>
        </w:tc>
      </w:tr>
      <w:tr>
        <w:tc>
          <w:tcPr>
            <w:tcW w:type="dxa" w:w="302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Similarity review</w:t>
            </w:r>
          </w:p>
        </w:tc>
        <w:tc>
          <w:tcPr>
            <w:tcW w:type="dxa" w:w="727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Use licensed full-text comparison where required and interpret matched passages.</w:t>
            </w:r>
          </w:p>
        </w:tc>
      </w:tr>
      <w:tr>
        <w:tc>
          <w:tcPr>
            <w:tcW w:type="dxa" w:w="302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Reference integrity</w:t>
            </w:r>
          </w:p>
        </w:tc>
        <w:tc>
          <w:tcPr>
            <w:tcW w:type="dxa" w:w="727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Verify selected claims against primary or authoritative sources.</w:t>
            </w:r>
          </w:p>
        </w:tc>
      </w:tr>
      <w:tr>
        <w:tc>
          <w:tcPr>
            <w:tcW w:type="dxa" w:w="302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AI transparency</w:t>
            </w:r>
          </w:p>
        </w:tc>
        <w:tc>
          <w:tcPr>
            <w:tcW w:type="dxa" w:w="727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Assess disclosure and provenance without treating stylistic detection as proof.</w:t>
            </w:r>
          </w:p>
        </w:tc>
      </w:tr>
      <w:tr>
        <w:tc>
          <w:tcPr>
            <w:tcW w:type="dxa" w:w="302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Identity and ethics</w:t>
            </w:r>
          </w:p>
        </w:tc>
        <w:tc>
          <w:tcPr>
            <w:tcW w:type="dxa" w:w="727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Verify authorship, affiliations, ORCID, conflicts, ethics and data availability.</w:t>
            </w:r>
          </w:p>
        </w:tc>
      </w:tr>
    </w:tbl>
    <w:p>
      <w:pPr>
        <w:pStyle w:val="Heading1"/>
      </w:pPr>
      <w:r>
        <w:t>Standards basis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74"/>
        <w:gridCol w:w="3374"/>
        <w:gridCol w:w="3374"/>
      </w:tblGrid>
      <w:tr>
        <w:trPr>
          <w:tblHeader w:val="true"/>
        </w:trPr>
        <w:tc>
          <w:tcPr>
            <w:tcW w:type="dxa" w:w="3374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Source</w:t>
            </w:r>
          </w:p>
        </w:tc>
        <w:tc>
          <w:tcPr>
            <w:tcW w:type="dxa" w:w="3374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Use in the review</w:t>
            </w:r>
          </w:p>
        </w:tc>
        <w:tc>
          <w:tcPr>
            <w:tcW w:type="dxa" w:w="3374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Official resource</w:t>
            </w:r>
          </w:p>
        </w:tc>
      </w:tr>
      <w:tr>
        <w:tc>
          <w:tcPr>
            <w:tcW w:type="dxa" w:w="252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COPE Core Practices</w:t>
            </w:r>
          </w:p>
        </w:tc>
        <w:tc>
          <w:tcPr>
            <w:tcW w:type="dxa" w:w="42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Publication ethics and integrity governance.</w:t>
            </w:r>
          </w:p>
        </w:tc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publicationethics.org/core-practices</w:t>
            </w:r>
          </w:p>
        </w:tc>
      </w:tr>
      <w:tr>
        <w:tc>
          <w:tcPr>
            <w:tcW w:type="dxa" w:w="252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ICMJE Recommendations (2026)</w:t>
            </w:r>
          </w:p>
        </w:tc>
        <w:tc>
          <w:tcPr>
            <w:tcW w:type="dxa" w:w="42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Authorship/accountability, disclosures, AI and confidentiality.</w:t>
            </w:r>
          </w:p>
        </w:tc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icmje.org/recommendations</w:t>
            </w:r>
          </w:p>
        </w:tc>
      </w:tr>
      <w:tr>
        <w:tc>
          <w:tcPr>
            <w:tcW w:type="dxa" w:w="252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CRediT (ANSI/NISO)</w:t>
            </w:r>
          </w:p>
        </w:tc>
        <w:tc>
          <w:tcPr>
            <w:tcW w:type="dxa" w:w="42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Structured contributor roles.</w:t>
            </w:r>
          </w:p>
        </w:tc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credit.niso.org</w:t>
            </w:r>
          </w:p>
        </w:tc>
      </w:tr>
      <w:tr>
        <w:tc>
          <w:tcPr>
            <w:tcW w:type="dxa" w:w="252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EQUATOR Network</w:t>
            </w:r>
          </w:p>
        </w:tc>
        <w:tc>
          <w:tcPr>
            <w:tcW w:type="dxa" w:w="42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Study-design reporting guidance.</w:t>
            </w:r>
          </w:p>
        </w:tc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equator-network.org</w:t>
            </w:r>
          </w:p>
        </w:tc>
      </w:tr>
      <w:tr>
        <w:tc>
          <w:tcPr>
            <w:tcW w:type="dxa" w:w="252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Crossref REST API</w:t>
            </w:r>
          </w:p>
        </w:tc>
        <w:tc>
          <w:tcPr>
            <w:tcW w:type="dxa" w:w="42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DOI and scholarly metadata verification.</w:t>
            </w:r>
          </w:p>
        </w:tc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crossref.org/documentation/retrieve-metadata/rest-api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rPr>
          <w:tblHeader w:val="true"/>
        </w:trPr>
        <w:tc>
          <w:tcPr>
            <w:tcW w:type="dxa" w:w="10123"/>
            <w:shd w:fill="FDEEEE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10" w:color="A61B1B"/>
              <w:left w:val="single" w:sz="10" w:color="A61B1B"/>
              <w:bottom w:val="single" w:sz="10" w:color="A61B1B"/>
              <w:right w:val="single" w:sz="10" w:color="A61B1B"/>
            </w:tcBorders>
          </w:tcPr>
          <w:p>
            <w:r>
              <w:rPr>
                <w:b/>
                <w:color w:val="071A45"/>
                <w:sz w:val="19"/>
              </w:rPr>
              <w:t>MANDATORY LIMITATION</w:t>
              <w:br/>
            </w:r>
            <w:r>
              <w:rPr>
                <w:color w:val="152033"/>
                <w:sz w:val="18"/>
              </w:rPr>
              <w:t>The readiness score is never peer review, a plagiarism certificate, an AI-authorship verdict, an indexing decision or an acceptance decision. Qualified human editors and peer reviewers retain authority for publication decisions.</w:t>
            </w:r>
          </w:p>
        </w:tc>
      </w:tr>
    </w:tbl>
    <w:p>
      <w:pPr>
        <w:pStyle w:val="Heading1"/>
      </w:pPr>
      <w:r>
        <w:t>Editorial office</w:t>
      </w:r>
    </w:p>
    <w:p>
      <w:pPr/>
      <w:r>
        <w:t>CHIA TECH SOLUTIONS AND RESOURCES LIMITED (RC 1839865) · CHIATECH JOURNAL · chiatechlibrary@gmail.com · +234 912 954 8007 · Abuja office: Opposite Mini Campus, University of Abuja, Phase 1, Gwagwalada, Nigeria.</w:t>
      </w:r>
    </w:p>
    <w:sectPr w:rsidR="00FC693F" w:rsidRPr="0006063C" w:rsidSect="00034616">
      <w:headerReference w:type="default" r:id="rId9"/>
      <w:footerReference w:type="default" r:id="rId10"/>
      <w:pgSz w:w="11909" w:h="16834"/>
      <w:pgMar w:top="792" w:right="893" w:bottom="792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color w:val="071A45"/>
        <w:sz w:val="14"/>
      </w:rPr>
      <w:t xml:space="preserve">CHIATECH JOURNAL · </w:t>
    </w:r>
    <w:r>
      <w:rPr>
        <w:color w:val="5B6472"/>
        <w:sz w:val="14"/>
      </w:rPr>
      <w:t>chiatechlibrary@gmail.com · +234 912 954 8007</w:t>
      <w:br/>
    </w:r>
    <w:r>
      <w:rPr>
        <w:color w:val="5B6472"/>
        <w:sz w:val="13"/>
      </w:rPr>
      <w:t xml:space="preserve">Opposite Mini Campus, University of Abuja, Phase 1, Gwagwalada, Nigeria ·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1080"/>
      <w:gridCol w:w="6984"/>
      <w:gridCol w:w="2016"/>
    </w:tblGrid>
    <w:tr>
      <w:trPr>
        <w:tblHeader w:val="true"/>
      </w:trPr>
      <w:tc>
        <w:tcPr>
          <w:tcW w:type="dxa" w:w="3360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365760" cy="365760"/>
                <wp:docPr id="1" name="Picture 1" descr="CHIATECH publisher logo" title="CHIATECH publisher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657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3360"/>
        </w:tcPr>
        <w:p>
          <w:pPr>
            <w:jc w:val="center"/>
          </w:pPr>
          <w:r>
            <w:rPr>
              <w:rFonts w:ascii="Arial" w:hAnsi="Arial"/>
              <w:b/>
              <w:color w:val="071A45"/>
              <w:sz w:val="19"/>
            </w:rPr>
            <w:t>CHIATECH JOURNAL</w:t>
          </w:r>
          <w:r>
            <w:rPr>
              <w:rFonts w:ascii="Arial" w:hAnsi="Arial"/>
              <w:color w:val="1656B8"/>
              <w:sz w:val="13"/>
            </w:rPr>
            <w:br/>
            <w:t>SETEHEM · OPEN ACCESS · DOUBLE-BLIND PEER REVIEW</w:t>
          </w:r>
        </w:p>
      </w:tc>
      <w:tc>
        <w:tcPr>
          <w:tcW w:type="dxa" w:w="3360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320040" cy="379781"/>
                <wp:docPr id="2" name="Picture 2" descr="CHIATECH Journal SETEHEM logo" title="CHIATECH Journal SETEHEM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040" cy="379781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1520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656B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71A45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1656B8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071A4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Text">
    <w:name w:val="Small Text"/>
    <w:pPr>
      <w:spacing w:after="60"/>
    </w:pPr>
    <w:rPr>
      <w:rFonts w:ascii="Arial" w:hAnsi="Arial"/>
      <w:color w:val="5B6472"/>
      <w:sz w:val="17"/>
    </w:rPr>
  </w:style>
  <w:style w:type="paragraph" w:customStyle="1" w:styleId="Callout">
    <w:name w:val="Callout"/>
    <w:pPr>
      <w:spacing w:after="60"/>
    </w:pPr>
    <w:rPr>
      <w:rFonts w:ascii="Arial" w:hAnsi="Arial"/>
      <w:b/>
      <w:color w:val="071A45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